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B2A" w:rsidRPr="00D10676" w:rsidRDefault="000C499E">
      <w:pPr>
        <w:pStyle w:val="BodyA"/>
        <w:spacing w:line="20" w:lineRule="atLeast"/>
        <w:rPr>
          <w:rStyle w:val="None"/>
          <w:rFonts w:ascii="Arial" w:eastAsia="Arial" w:hAnsi="Arial" w:cs="Arial"/>
          <w:sz w:val="22"/>
          <w:szCs w:val="22"/>
        </w:rPr>
      </w:pPr>
      <w:r w:rsidRPr="00D10676">
        <w:rPr>
          <w:rStyle w:val="None"/>
          <w:rFonts w:ascii="Arial" w:eastAsia="Arial" w:hAnsi="Arial" w:cs="Arial"/>
          <w:noProof/>
          <w:sz w:val="22"/>
          <w:szCs w:val="22"/>
          <w:lang w:val="tr-TR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3799CD5" wp14:editId="5B826BF9">
                <wp:simplePos x="0" y="0"/>
                <wp:positionH relativeFrom="page">
                  <wp:posOffset>1869438</wp:posOffset>
                </wp:positionH>
                <wp:positionV relativeFrom="line">
                  <wp:posOffset>354965</wp:posOffset>
                </wp:positionV>
                <wp:extent cx="3792855" cy="0"/>
                <wp:effectExtent l="0" t="0" r="0" b="0"/>
                <wp:wrapTopAndBottom distT="152400" distB="152400"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92855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id="_x0000_s1026" style="visibility:visible;position:absolute;margin-left:147.2pt;margin-top:28.0pt;width:298.6pt;height:0.0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  <w:r w:rsidRPr="00D10676">
        <w:rPr>
          <w:rStyle w:val="None"/>
          <w:rFonts w:ascii="Arial" w:eastAsia="Arial" w:hAnsi="Arial" w:cs="Arial"/>
          <w:noProof/>
          <w:sz w:val="22"/>
          <w:szCs w:val="22"/>
          <w:lang w:val="tr-TR"/>
        </w:rPr>
        <w:drawing>
          <wp:anchor distT="152400" distB="152400" distL="152400" distR="152400" simplePos="0" relativeHeight="251660288" behindDoc="0" locked="0" layoutInCell="1" allowOverlap="1" wp14:anchorId="35750C12" wp14:editId="665CD57F">
            <wp:simplePos x="0" y="0"/>
            <wp:positionH relativeFrom="page">
              <wp:posOffset>847090</wp:posOffset>
            </wp:positionH>
            <wp:positionV relativeFrom="page">
              <wp:posOffset>198120</wp:posOffset>
            </wp:positionV>
            <wp:extent cx="676275" cy="676275"/>
            <wp:effectExtent l="0" t="0" r="0" b="0"/>
            <wp:wrapThrough wrapText="bothSides" distL="152400" distR="152400">
              <wp:wrapPolygon edited="1">
                <wp:start x="10267" y="0"/>
                <wp:lineTo x="12308" y="91"/>
                <wp:lineTo x="14227" y="548"/>
                <wp:lineTo x="15994" y="1310"/>
                <wp:lineTo x="17639" y="2437"/>
                <wp:lineTo x="18919" y="3656"/>
                <wp:lineTo x="20016" y="5149"/>
                <wp:lineTo x="20808" y="6702"/>
                <wp:lineTo x="21356" y="8439"/>
                <wp:lineTo x="21600" y="10267"/>
                <wp:lineTo x="21509" y="12278"/>
                <wp:lineTo x="21021" y="14319"/>
                <wp:lineTo x="20199" y="16116"/>
                <wp:lineTo x="19193" y="17579"/>
                <wp:lineTo x="17853" y="18980"/>
                <wp:lineTo x="16421" y="20016"/>
                <wp:lineTo x="14776" y="20838"/>
                <wp:lineTo x="13070" y="21356"/>
                <wp:lineTo x="11577" y="21570"/>
                <wp:lineTo x="9444" y="21509"/>
                <wp:lineTo x="7525" y="21082"/>
                <wp:lineTo x="5910" y="20412"/>
                <wp:lineTo x="4478" y="19528"/>
                <wp:lineTo x="3138" y="18401"/>
                <wp:lineTo x="1950" y="16969"/>
                <wp:lineTo x="1036" y="15385"/>
                <wp:lineTo x="396" y="13679"/>
                <wp:lineTo x="61" y="11912"/>
                <wp:lineTo x="91" y="9414"/>
                <wp:lineTo x="518" y="7494"/>
                <wp:lineTo x="1280" y="5697"/>
                <wp:lineTo x="2285" y="4174"/>
                <wp:lineTo x="3534" y="2803"/>
                <wp:lineTo x="4966" y="1706"/>
                <wp:lineTo x="6641" y="823"/>
                <wp:lineTo x="8348" y="274"/>
                <wp:lineTo x="9840" y="30"/>
                <wp:lineTo x="10267" y="0"/>
              </wp:wrapPolygon>
            </wp:wrapThrough>
            <wp:docPr id="1073741826" name="officeArt object" descr="Bultengonderin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Bultengonderin_Logo.png" descr="Bultengonderin_Logo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eastAsia="Arial" w:hAnsi="Arial" w:cs="Arial"/>
          <w:sz w:val="22"/>
          <w:szCs w:val="22"/>
        </w:rPr>
        <w:tab/>
      </w:r>
      <w:r w:rsidRPr="00D10676">
        <w:rPr>
          <w:rStyle w:val="None"/>
          <w:rFonts w:ascii="Arial" w:hAnsi="Arial"/>
          <w:sz w:val="22"/>
          <w:szCs w:val="22"/>
        </w:rPr>
        <w:t>31.07.2018</w:t>
      </w:r>
    </w:p>
    <w:p w:rsidR="00AB3B2A" w:rsidRPr="00D10676" w:rsidRDefault="00AB3B2A">
      <w:pPr>
        <w:pStyle w:val="BodyB"/>
        <w:spacing w:line="20" w:lineRule="atLeast"/>
        <w:jc w:val="center"/>
        <w:rPr>
          <w:rStyle w:val="None"/>
          <w:rFonts w:ascii="Arial" w:eastAsia="Arial" w:hAnsi="Arial" w:cs="Arial"/>
          <w:b/>
          <w:bCs/>
          <w:sz w:val="36"/>
          <w:szCs w:val="36"/>
        </w:rPr>
      </w:pPr>
    </w:p>
    <w:p w:rsidR="00AB3B2A" w:rsidRPr="00D10676" w:rsidRDefault="000C499E">
      <w:pPr>
        <w:pStyle w:val="BodyB"/>
        <w:spacing w:line="20" w:lineRule="atLeast"/>
        <w:jc w:val="center"/>
        <w:rPr>
          <w:rStyle w:val="None"/>
          <w:rFonts w:ascii="Arial" w:eastAsia="Arial" w:hAnsi="Arial" w:cs="Arial"/>
        </w:rPr>
      </w:pPr>
      <w:proofErr w:type="spellStart"/>
      <w:r w:rsidRPr="00D10676">
        <w:rPr>
          <w:rStyle w:val="None"/>
          <w:rFonts w:ascii="Arial" w:hAnsi="Arial"/>
          <w:b/>
          <w:bCs/>
          <w:sz w:val="36"/>
          <w:szCs w:val="36"/>
        </w:rPr>
        <w:t>İstanbul’da</w:t>
      </w:r>
      <w:proofErr w:type="spellEnd"/>
      <w:r w:rsidRPr="00D10676">
        <w:rPr>
          <w:rStyle w:val="None"/>
          <w:rFonts w:ascii="Arial" w:hAnsi="Arial"/>
          <w:b/>
          <w:bCs/>
          <w:sz w:val="36"/>
          <w:szCs w:val="36"/>
        </w:rPr>
        <w:t xml:space="preserve"> </w:t>
      </w:r>
      <w:proofErr w:type="spellStart"/>
      <w:r w:rsidRPr="00D10676">
        <w:rPr>
          <w:rStyle w:val="None"/>
          <w:rFonts w:ascii="Arial" w:hAnsi="Arial"/>
          <w:b/>
          <w:bCs/>
          <w:sz w:val="36"/>
          <w:szCs w:val="36"/>
        </w:rPr>
        <w:t>Ofis</w:t>
      </w:r>
      <w:proofErr w:type="spellEnd"/>
      <w:r w:rsidRPr="00D10676">
        <w:rPr>
          <w:rStyle w:val="None"/>
          <w:rFonts w:ascii="Arial" w:hAnsi="Arial"/>
          <w:b/>
          <w:bCs/>
          <w:sz w:val="36"/>
          <w:szCs w:val="36"/>
        </w:rPr>
        <w:t xml:space="preserve"> </w:t>
      </w:r>
      <w:proofErr w:type="spellStart"/>
      <w:r w:rsidRPr="00D10676">
        <w:rPr>
          <w:rStyle w:val="None"/>
          <w:rFonts w:ascii="Arial" w:hAnsi="Arial"/>
          <w:b/>
          <w:bCs/>
          <w:sz w:val="36"/>
          <w:szCs w:val="36"/>
        </w:rPr>
        <w:t>Kiraları</w:t>
      </w:r>
      <w:proofErr w:type="spellEnd"/>
      <w:r w:rsidRPr="00D10676">
        <w:rPr>
          <w:rStyle w:val="None"/>
          <w:rFonts w:ascii="Arial" w:hAnsi="Arial"/>
          <w:b/>
          <w:bCs/>
          <w:sz w:val="36"/>
          <w:szCs w:val="36"/>
        </w:rPr>
        <w:t xml:space="preserve"> </w:t>
      </w:r>
      <w:proofErr w:type="spellStart"/>
      <w:r w:rsidRPr="00D10676">
        <w:rPr>
          <w:rStyle w:val="None"/>
          <w:rFonts w:ascii="Arial" w:hAnsi="Arial"/>
          <w:b/>
          <w:bCs/>
          <w:sz w:val="36"/>
          <w:szCs w:val="36"/>
        </w:rPr>
        <w:t>Düştü</w:t>
      </w:r>
      <w:proofErr w:type="spellEnd"/>
      <w:r w:rsidRPr="00D10676">
        <w:rPr>
          <w:rStyle w:val="None"/>
          <w:rFonts w:ascii="Arial Unicode MS" w:eastAsia="Arial Unicode MS" w:hAnsi="Arial Unicode MS" w:cs="Arial Unicode MS"/>
          <w:sz w:val="36"/>
          <w:szCs w:val="36"/>
        </w:rPr>
        <w:br/>
      </w:r>
      <w:proofErr w:type="spellStart"/>
      <w:r w:rsidRPr="00D10676">
        <w:rPr>
          <w:rStyle w:val="None"/>
          <w:rFonts w:ascii="Arial" w:hAnsi="Arial"/>
          <w:b/>
          <w:bCs/>
          <w:sz w:val="36"/>
          <w:szCs w:val="36"/>
        </w:rPr>
        <w:t>Ofislerin</w:t>
      </w:r>
      <w:proofErr w:type="spellEnd"/>
      <w:r w:rsidRPr="00D10676">
        <w:rPr>
          <w:rStyle w:val="None"/>
          <w:rFonts w:ascii="Arial" w:hAnsi="Arial"/>
          <w:b/>
          <w:bCs/>
          <w:sz w:val="36"/>
          <w:szCs w:val="36"/>
        </w:rPr>
        <w:t xml:space="preserve"> </w:t>
      </w:r>
      <w:proofErr w:type="gramStart"/>
      <w:r w:rsidRPr="00D10676">
        <w:rPr>
          <w:rStyle w:val="None"/>
          <w:rFonts w:ascii="Arial" w:hAnsi="Arial"/>
          <w:b/>
          <w:bCs/>
          <w:sz w:val="36"/>
          <w:szCs w:val="36"/>
        </w:rPr>
        <w:t>3’te</w:t>
      </w:r>
      <w:proofErr w:type="gramEnd"/>
      <w:r w:rsidRPr="00D10676">
        <w:rPr>
          <w:rStyle w:val="None"/>
          <w:rFonts w:ascii="Arial" w:hAnsi="Arial"/>
          <w:b/>
          <w:bCs/>
          <w:sz w:val="36"/>
          <w:szCs w:val="36"/>
        </w:rPr>
        <w:t xml:space="preserve"> 1’i </w:t>
      </w:r>
      <w:proofErr w:type="spellStart"/>
      <w:r w:rsidRPr="00D10676">
        <w:rPr>
          <w:rStyle w:val="None"/>
          <w:rFonts w:ascii="Arial" w:hAnsi="Arial"/>
          <w:b/>
          <w:bCs/>
          <w:sz w:val="36"/>
          <w:szCs w:val="36"/>
        </w:rPr>
        <w:t>Boş</w:t>
      </w:r>
      <w:proofErr w:type="spellEnd"/>
      <w:r w:rsidRPr="00D10676">
        <w:rPr>
          <w:rStyle w:val="None"/>
          <w:rFonts w:ascii="Arial" w:hAnsi="Arial"/>
          <w:b/>
          <w:bCs/>
          <w:sz w:val="36"/>
          <w:szCs w:val="36"/>
        </w:rPr>
        <w:t xml:space="preserve"> Kaldı</w:t>
      </w:r>
    </w:p>
    <w:p w:rsidR="00AB3B2A" w:rsidRPr="00D10676" w:rsidRDefault="00AB3B2A">
      <w:pPr>
        <w:pStyle w:val="BodyB"/>
        <w:spacing w:line="20" w:lineRule="atLeast"/>
        <w:rPr>
          <w:rStyle w:val="None"/>
          <w:rFonts w:ascii="Arial" w:eastAsia="Arial" w:hAnsi="Arial" w:cs="Arial"/>
          <w:shd w:val="clear" w:color="auto" w:fill="FFFFFF"/>
        </w:rPr>
      </w:pPr>
    </w:p>
    <w:p w:rsidR="00AB3B2A" w:rsidRPr="00D10676" w:rsidRDefault="00AB3B2A">
      <w:pPr>
        <w:pStyle w:val="BodyB"/>
        <w:spacing w:line="20" w:lineRule="atLeast"/>
        <w:jc w:val="center"/>
        <w:rPr>
          <w:rStyle w:val="None"/>
          <w:rFonts w:ascii="Arial" w:eastAsia="Arial" w:hAnsi="Arial" w:cs="Arial"/>
          <w:b/>
          <w:bCs/>
          <w:i/>
          <w:iCs/>
          <w:sz w:val="22"/>
          <w:szCs w:val="22"/>
          <w:shd w:val="clear" w:color="auto" w:fill="FFFFFF"/>
        </w:rPr>
      </w:pPr>
    </w:p>
    <w:p w:rsidR="00AB3B2A" w:rsidRPr="00D10676" w:rsidRDefault="000C499E" w:rsidP="00F07FBA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eastAsia="Arial" w:hAnsi="Arial" w:cs="Arial"/>
          <w:sz w:val="22"/>
          <w:szCs w:val="22"/>
        </w:rPr>
      </w:pPr>
      <w:r w:rsidRPr="00D10676">
        <w:rPr>
          <w:rStyle w:val="None"/>
          <w:rFonts w:ascii="Arial" w:hAnsi="Arial"/>
          <w:sz w:val="22"/>
          <w:szCs w:val="22"/>
        </w:rPr>
        <w:t>İstanbul ofis pazarında yaşanan değişim ve gelecek d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r w:rsidRPr="00D10676">
        <w:rPr>
          <w:rStyle w:val="None"/>
          <w:rFonts w:ascii="Arial" w:hAnsi="Arial"/>
          <w:sz w:val="22"/>
          <w:szCs w:val="22"/>
        </w:rPr>
        <w:t xml:space="preserve">nem 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ng</w:t>
      </w:r>
      <w:proofErr w:type="spellEnd"/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rülerinin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analiz edildiği  “İstanbul Ofis Pazarına Genel Bakış” raporunun 2018 ikinci 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ç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eyrek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sonu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ç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ları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yayı</w:t>
      </w:r>
      <w:r w:rsidRPr="00D10676">
        <w:rPr>
          <w:rStyle w:val="None"/>
          <w:rFonts w:ascii="Arial" w:hAnsi="Arial"/>
          <w:sz w:val="22"/>
          <w:szCs w:val="22"/>
          <w:lang w:val="nl-NL"/>
        </w:rPr>
        <w:t>nland</w:t>
      </w:r>
      <w:r w:rsidRPr="00D10676">
        <w:rPr>
          <w:rStyle w:val="None"/>
          <w:rFonts w:ascii="Arial" w:hAnsi="Arial"/>
          <w:sz w:val="22"/>
          <w:szCs w:val="22"/>
        </w:rPr>
        <w:t xml:space="preserve">ı.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Propin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Gayrimenkul Yatırım Danışmanlığı tarafından her üç ayda bir hazırlanan rapora g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r w:rsidRPr="00D10676">
        <w:rPr>
          <w:rStyle w:val="None"/>
          <w:rFonts w:ascii="Arial" w:hAnsi="Arial"/>
          <w:sz w:val="22"/>
          <w:szCs w:val="22"/>
        </w:rPr>
        <w:t xml:space="preserve">re, Merkezi İş Alanı’nda (MİA) A sınıfı ofis binalarındaki kira ortalamaları 2017 yılının ikinci 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ç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eyreğine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g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r w:rsidRPr="00D10676">
        <w:rPr>
          <w:rStyle w:val="None"/>
          <w:rFonts w:ascii="Arial" w:hAnsi="Arial"/>
          <w:sz w:val="22"/>
          <w:szCs w:val="22"/>
        </w:rPr>
        <w:t xml:space="preserve">re %12 gerilerken; ofis boşluk oranları ise %30,4 oldu. Bu yılın ikinci 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ç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eyreğinde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>, en yüksek kira rakamı talep edilen b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lge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, Avrupa yakasında metrekare fiyatı 44 </w:t>
      </w:r>
      <w:r w:rsidRPr="00D10676">
        <w:rPr>
          <w:rStyle w:val="None"/>
          <w:rFonts w:ascii="Arial" w:hAnsi="Arial"/>
          <w:sz w:val="22"/>
          <w:szCs w:val="22"/>
          <w:lang w:val="en-US"/>
        </w:rPr>
        <w:t>$</w:t>
      </w:r>
      <w:r w:rsidRPr="00D10676">
        <w:rPr>
          <w:rStyle w:val="None"/>
          <w:rFonts w:ascii="Arial" w:hAnsi="Arial"/>
          <w:sz w:val="22"/>
          <w:szCs w:val="22"/>
        </w:rPr>
        <w:t xml:space="preserve"> ile Levent, Anadolu yakasında ise 28 </w:t>
      </w:r>
      <w:r w:rsidRPr="00D10676">
        <w:rPr>
          <w:rStyle w:val="None"/>
          <w:rFonts w:ascii="Arial" w:hAnsi="Arial"/>
          <w:sz w:val="22"/>
          <w:szCs w:val="22"/>
          <w:lang w:val="en-US"/>
        </w:rPr>
        <w:t>$</w:t>
      </w:r>
      <w:r w:rsidRPr="00D10676">
        <w:rPr>
          <w:rStyle w:val="None"/>
          <w:rFonts w:ascii="Arial" w:hAnsi="Arial"/>
          <w:sz w:val="22"/>
          <w:szCs w:val="22"/>
        </w:rPr>
        <w:t xml:space="preserve"> ile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Kozyatağı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oldu.</w:t>
      </w:r>
    </w:p>
    <w:p w:rsidR="00AB3B2A" w:rsidRPr="00D10676" w:rsidRDefault="000C499E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D10676">
        <w:rPr>
          <w:rStyle w:val="None"/>
          <w:rFonts w:ascii="Arial" w:hAnsi="Arial"/>
          <w:b/>
          <w:bCs/>
          <w:sz w:val="22"/>
          <w:szCs w:val="22"/>
        </w:rPr>
        <w:t xml:space="preserve">İstanbul’da Ofis Kiraları Ortalama %12 </w:t>
      </w:r>
      <w:proofErr w:type="gramStart"/>
      <w:r w:rsidRPr="00D10676">
        <w:rPr>
          <w:rStyle w:val="None"/>
          <w:rFonts w:ascii="Arial" w:hAnsi="Arial"/>
          <w:b/>
          <w:bCs/>
          <w:sz w:val="22"/>
          <w:szCs w:val="22"/>
        </w:rPr>
        <w:t>Düştü</w:t>
      </w:r>
      <w:proofErr w:type="gramEnd"/>
    </w:p>
    <w:p w:rsidR="00AB3B2A" w:rsidRPr="00D10676" w:rsidRDefault="000C499E" w:rsidP="00F07FBA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uppressAutoHyphens/>
        <w:spacing w:after="200" w:line="276" w:lineRule="auto"/>
        <w:jc w:val="both"/>
        <w:rPr>
          <w:rStyle w:val="None"/>
          <w:rFonts w:ascii="Arial" w:eastAsia="Arial" w:hAnsi="Arial" w:cs="Arial"/>
          <w:sz w:val="22"/>
          <w:szCs w:val="22"/>
        </w:rPr>
      </w:pPr>
      <w:r w:rsidRPr="00D10676">
        <w:rPr>
          <w:rStyle w:val="None"/>
          <w:rFonts w:ascii="Arial" w:hAnsi="Arial"/>
          <w:sz w:val="22"/>
          <w:szCs w:val="22"/>
        </w:rPr>
        <w:t xml:space="preserve">Ticari gayrimenkul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sekt</w:t>
      </w:r>
      <w:proofErr w:type="spellEnd"/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ründe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‘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ofis</w:t>
      </w:r>
      <w:r w:rsidRPr="00D10676">
        <w:rPr>
          <w:rStyle w:val="None"/>
          <w:rFonts w:ascii="Arial" w:hAnsi="Arial"/>
          <w:sz w:val="22"/>
          <w:szCs w:val="22"/>
        </w:rPr>
        <w:t xml:space="preserve">’ alanında uzmanlaşan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Propin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, Merkezi İş Alanı’nda (MİA) bulunan A sınıfı ofislerde 2017’nin ikinci 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ç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eyreğinde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25,9 </w:t>
      </w:r>
      <w:r w:rsidRPr="00D10676">
        <w:rPr>
          <w:rStyle w:val="None"/>
          <w:rFonts w:ascii="Arial" w:hAnsi="Arial"/>
          <w:sz w:val="22"/>
          <w:szCs w:val="22"/>
          <w:lang w:val="en-US"/>
        </w:rPr>
        <w:t>$</w:t>
      </w:r>
      <w:r w:rsidRPr="00D10676">
        <w:rPr>
          <w:rStyle w:val="None"/>
          <w:rFonts w:ascii="Arial" w:hAnsi="Arial"/>
          <w:sz w:val="22"/>
          <w:szCs w:val="22"/>
        </w:rPr>
        <w:t xml:space="preserve"> olan metrekare fiyatlarının 2018 ikinci 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ç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eyreğinde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%12 oranında düşerek 22,7 </w:t>
      </w:r>
      <w:r w:rsidRPr="00D10676">
        <w:rPr>
          <w:rStyle w:val="None"/>
          <w:rFonts w:ascii="Arial" w:hAnsi="Arial"/>
          <w:sz w:val="22"/>
          <w:szCs w:val="22"/>
          <w:lang w:val="en-US"/>
        </w:rPr>
        <w:t>$’</w:t>
      </w:r>
      <w:r w:rsidRPr="00D10676">
        <w:rPr>
          <w:rStyle w:val="None"/>
          <w:rFonts w:ascii="Arial" w:hAnsi="Arial"/>
          <w:sz w:val="22"/>
          <w:szCs w:val="22"/>
        </w:rPr>
        <w:t>a gerilediğini açıkladı</w:t>
      </w:r>
      <w:r w:rsidRPr="00D10676">
        <w:rPr>
          <w:rStyle w:val="None"/>
          <w:rFonts w:ascii="Arial" w:hAnsi="Arial"/>
          <w:sz w:val="22"/>
          <w:szCs w:val="22"/>
          <w:lang w:val="it-IT"/>
        </w:rPr>
        <w:t>. B s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ınıfı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ofis binalarındaki fiyat düşüşü ise %20’ye ulaşarak, metrekare fiyatı 11,7</w:t>
      </w:r>
      <w:r w:rsidRPr="00D10676">
        <w:rPr>
          <w:rStyle w:val="None"/>
          <w:rFonts w:ascii="Arial" w:hAnsi="Arial"/>
          <w:sz w:val="22"/>
          <w:szCs w:val="22"/>
          <w:lang w:val="en-US"/>
        </w:rPr>
        <w:t xml:space="preserve"> $</w:t>
      </w:r>
      <w:r w:rsidRPr="00D10676">
        <w:rPr>
          <w:rStyle w:val="None"/>
          <w:rFonts w:ascii="Arial" w:hAnsi="Arial"/>
          <w:sz w:val="22"/>
          <w:szCs w:val="22"/>
        </w:rPr>
        <w:t xml:space="preserve"> oldu. Merkezi İş Alanı (MİA) Dışı-Avrupa’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da A s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ınıfı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ofislerin ortalama metrekare fiyatı </w:t>
      </w:r>
      <w:bookmarkStart w:id="0" w:name="_GoBack"/>
      <w:bookmarkEnd w:id="0"/>
      <w:r w:rsidRPr="00D10676">
        <w:rPr>
          <w:rStyle w:val="None"/>
          <w:rFonts w:ascii="Arial" w:hAnsi="Arial"/>
          <w:sz w:val="22"/>
          <w:szCs w:val="22"/>
        </w:rPr>
        <w:t xml:space="preserve"> 15,3 </w:t>
      </w:r>
      <w:r w:rsidRPr="00D10676">
        <w:rPr>
          <w:rStyle w:val="None"/>
          <w:rFonts w:ascii="Arial" w:hAnsi="Arial"/>
          <w:sz w:val="22"/>
          <w:szCs w:val="22"/>
          <w:lang w:val="en-US"/>
        </w:rPr>
        <w:t>$</w:t>
      </w:r>
      <w:r w:rsidRPr="00D10676">
        <w:rPr>
          <w:rStyle w:val="None"/>
          <w:rFonts w:ascii="Arial" w:hAnsi="Arial"/>
          <w:sz w:val="22"/>
          <w:szCs w:val="22"/>
        </w:rPr>
        <w:t xml:space="preserve">, Asya’da ise 16,6 </w:t>
      </w:r>
      <w:r w:rsidRPr="00D10676">
        <w:rPr>
          <w:rStyle w:val="None"/>
          <w:rFonts w:ascii="Arial" w:hAnsi="Arial"/>
          <w:sz w:val="22"/>
          <w:szCs w:val="22"/>
          <w:lang w:val="en-US"/>
        </w:rPr>
        <w:t>$</w:t>
      </w:r>
      <w:r w:rsidRPr="00D10676">
        <w:rPr>
          <w:rStyle w:val="None"/>
          <w:rFonts w:ascii="Arial" w:hAnsi="Arial"/>
          <w:sz w:val="22"/>
          <w:szCs w:val="22"/>
        </w:rPr>
        <w:t xml:space="preserve"> olarak g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zlendi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. </w:t>
      </w:r>
    </w:p>
    <w:p w:rsidR="00AB3B2A" w:rsidRPr="00D10676" w:rsidRDefault="000C499E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D10676">
        <w:rPr>
          <w:rStyle w:val="None"/>
          <w:rFonts w:ascii="Arial" w:hAnsi="Arial"/>
          <w:b/>
          <w:bCs/>
          <w:sz w:val="22"/>
          <w:szCs w:val="22"/>
        </w:rPr>
        <w:t>En Yüksek Ofis Kiraları Levent’te</w:t>
      </w:r>
    </w:p>
    <w:p w:rsidR="00AB3B2A" w:rsidRPr="00D10676" w:rsidRDefault="000C499E" w:rsidP="00F07FBA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uppressAutoHyphens/>
        <w:spacing w:after="200" w:line="276" w:lineRule="auto"/>
        <w:jc w:val="both"/>
        <w:rPr>
          <w:rStyle w:val="None"/>
          <w:rFonts w:ascii="Arial" w:eastAsia="Arial" w:hAnsi="Arial" w:cs="Arial"/>
          <w:sz w:val="22"/>
          <w:szCs w:val="22"/>
        </w:rPr>
      </w:pPr>
      <w:r w:rsidRPr="00D10676">
        <w:rPr>
          <w:rStyle w:val="None"/>
          <w:rFonts w:ascii="Arial" w:hAnsi="Arial"/>
          <w:sz w:val="22"/>
          <w:szCs w:val="22"/>
        </w:rPr>
        <w:t xml:space="preserve">2018’in ikinci 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ç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eyreğinde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Merkezi İş Alanı içinde en yüksek kira talep edilen b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  <w:lang w:val="de-DE"/>
        </w:rPr>
        <w:t>lge</w:t>
      </w:r>
      <w:proofErr w:type="spellEnd"/>
      <w:r w:rsidR="00F07FBA">
        <w:rPr>
          <w:rStyle w:val="None"/>
          <w:rFonts w:ascii="Arial" w:hAnsi="Arial"/>
          <w:sz w:val="22"/>
          <w:szCs w:val="22"/>
          <w:lang w:val="de-DE"/>
        </w:rPr>
        <w:t xml:space="preserve"> </w:t>
      </w:r>
      <w:r w:rsidRPr="00D10676">
        <w:rPr>
          <w:rStyle w:val="None"/>
          <w:rFonts w:ascii="Arial" w:hAnsi="Arial"/>
          <w:sz w:val="22"/>
          <w:szCs w:val="22"/>
        </w:rPr>
        <w:t xml:space="preserve">44 $ ile Levent oldu.  </w:t>
      </w:r>
      <w:proofErr w:type="spellStart"/>
      <w:r w:rsidR="004C1934">
        <w:rPr>
          <w:rStyle w:val="None"/>
          <w:rFonts w:ascii="Arial" w:hAnsi="Arial"/>
          <w:sz w:val="22"/>
          <w:szCs w:val="22"/>
        </w:rPr>
        <w:t>MİA’da</w:t>
      </w:r>
      <w:proofErr w:type="spellEnd"/>
      <w:r w:rsidR="004C1934">
        <w:rPr>
          <w:rStyle w:val="None"/>
          <w:rFonts w:ascii="Arial" w:hAnsi="Arial"/>
          <w:sz w:val="22"/>
          <w:szCs w:val="22"/>
        </w:rPr>
        <w:t xml:space="preserve"> son on yılda talep edilen en düşük kira rakamı 30 $ ile Taksim – Nişantaşı ve Zincirlikuyu – Esentepe – Gayrettepe bölgelerinde gözlendi.</w:t>
      </w:r>
      <w:r w:rsidR="00F07FBA">
        <w:rPr>
          <w:rStyle w:val="None"/>
          <w:rFonts w:ascii="Arial" w:hAnsi="Arial"/>
          <w:sz w:val="22"/>
          <w:szCs w:val="22"/>
        </w:rPr>
        <w:t xml:space="preserve"> </w:t>
      </w:r>
      <w:r w:rsidRPr="00D10676">
        <w:rPr>
          <w:rStyle w:val="None"/>
          <w:rFonts w:ascii="Arial" w:hAnsi="Arial"/>
          <w:sz w:val="22"/>
          <w:szCs w:val="22"/>
        </w:rPr>
        <w:t>2018 yılı</w:t>
      </w:r>
      <w:r w:rsidRPr="00D10676">
        <w:rPr>
          <w:rStyle w:val="None"/>
          <w:rFonts w:ascii="Arial" w:hAnsi="Arial"/>
          <w:sz w:val="22"/>
          <w:szCs w:val="22"/>
          <w:lang w:val="es-ES_tradnl"/>
        </w:rPr>
        <w:t>nda en b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üyük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değer kaybı ise Etiler yaşadı. Etiler</w:t>
      </w:r>
      <w:r w:rsidR="004C1934">
        <w:rPr>
          <w:rStyle w:val="None"/>
          <w:rFonts w:ascii="Arial" w:hAnsi="Arial"/>
          <w:sz w:val="22"/>
          <w:szCs w:val="22"/>
        </w:rPr>
        <w:t>,</w:t>
      </w:r>
      <w:r w:rsidRPr="00D10676">
        <w:rPr>
          <w:rStyle w:val="None"/>
          <w:rFonts w:ascii="Arial" w:hAnsi="Arial"/>
          <w:sz w:val="22"/>
          <w:szCs w:val="22"/>
        </w:rPr>
        <w:t xml:space="preserve"> 2017 yılı </w:t>
      </w:r>
      <w:r w:rsidRPr="00D10676">
        <w:rPr>
          <w:rStyle w:val="None"/>
          <w:rFonts w:ascii="Arial" w:hAnsi="Arial"/>
          <w:sz w:val="22"/>
          <w:szCs w:val="22"/>
          <w:lang w:val="en-US"/>
        </w:rPr>
        <w:t xml:space="preserve">son 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ç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eyreğinden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bugüne yaklaşık %36 değer kaybe</w:t>
      </w:r>
      <w:r w:rsidR="004C1934">
        <w:rPr>
          <w:rStyle w:val="None"/>
          <w:rFonts w:ascii="Arial" w:hAnsi="Arial"/>
          <w:sz w:val="22"/>
          <w:szCs w:val="22"/>
        </w:rPr>
        <w:t>tti ve Etiler’de</w:t>
      </w:r>
      <w:r w:rsidRPr="00D10676">
        <w:rPr>
          <w:rStyle w:val="None"/>
          <w:rFonts w:ascii="Arial" w:hAnsi="Arial"/>
          <w:sz w:val="22"/>
          <w:szCs w:val="22"/>
        </w:rPr>
        <w:t xml:space="preserve"> metrekare fiyatı 25 </w:t>
      </w:r>
      <w:r w:rsidRPr="00D10676">
        <w:rPr>
          <w:rStyle w:val="None"/>
          <w:rFonts w:ascii="Arial" w:hAnsi="Arial"/>
          <w:sz w:val="22"/>
          <w:szCs w:val="22"/>
          <w:lang w:val="en-US"/>
        </w:rPr>
        <w:t>$’</w:t>
      </w:r>
      <w:r w:rsidRPr="00D10676">
        <w:rPr>
          <w:rStyle w:val="None"/>
          <w:rFonts w:ascii="Arial" w:hAnsi="Arial"/>
          <w:sz w:val="22"/>
          <w:szCs w:val="22"/>
          <w:lang w:val="it-IT"/>
        </w:rPr>
        <w:t>a d</w:t>
      </w:r>
      <w:r w:rsidRPr="00D10676">
        <w:rPr>
          <w:rStyle w:val="None"/>
          <w:rFonts w:ascii="Arial" w:hAnsi="Arial"/>
          <w:sz w:val="22"/>
          <w:szCs w:val="22"/>
        </w:rPr>
        <w:t xml:space="preserve">üştü. Anadolu yakasında ise ilk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sı</w:t>
      </w:r>
      <w:proofErr w:type="spellEnd"/>
      <w:r w:rsidRPr="00D10676">
        <w:rPr>
          <w:rStyle w:val="None"/>
          <w:rFonts w:ascii="Arial" w:hAnsi="Arial"/>
          <w:sz w:val="22"/>
          <w:szCs w:val="22"/>
          <w:lang w:val="es-ES_tradnl"/>
        </w:rPr>
        <w:t xml:space="preserve">rada </w:t>
      </w:r>
      <w:r w:rsidRPr="00D10676">
        <w:rPr>
          <w:rStyle w:val="None"/>
          <w:rFonts w:ascii="Arial" w:hAnsi="Arial"/>
          <w:sz w:val="22"/>
          <w:szCs w:val="22"/>
        </w:rPr>
        <w:t xml:space="preserve">birinci çeyreğe göre </w:t>
      </w:r>
      <w:r w:rsidRPr="00D10676">
        <w:rPr>
          <w:rStyle w:val="None"/>
          <w:rFonts w:ascii="Arial" w:hAnsi="Arial"/>
          <w:sz w:val="22"/>
          <w:szCs w:val="22"/>
          <w:lang w:val="en-US"/>
        </w:rPr>
        <w:t>2 $'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lık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düşüş</w:t>
      </w:r>
      <w:r w:rsidR="004C1934">
        <w:rPr>
          <w:rStyle w:val="None"/>
          <w:rFonts w:ascii="Arial" w:hAnsi="Arial"/>
          <w:sz w:val="22"/>
          <w:szCs w:val="22"/>
        </w:rPr>
        <w:t>ün</w:t>
      </w:r>
      <w:r w:rsidRPr="00D10676">
        <w:rPr>
          <w:rStyle w:val="None"/>
          <w:rFonts w:ascii="Arial" w:hAnsi="Arial"/>
          <w:sz w:val="22"/>
          <w:szCs w:val="22"/>
        </w:rPr>
        <w:t xml:space="preserve"> g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rü</w:t>
      </w:r>
      <w:r w:rsidR="00F07FBA">
        <w:rPr>
          <w:rStyle w:val="None"/>
          <w:rFonts w:ascii="Arial" w:hAnsi="Arial"/>
          <w:sz w:val="22"/>
          <w:szCs w:val="22"/>
        </w:rPr>
        <w:t>l</w:t>
      </w:r>
      <w:r w:rsidR="004C1934">
        <w:rPr>
          <w:rStyle w:val="None"/>
          <w:rFonts w:ascii="Arial" w:hAnsi="Arial"/>
          <w:sz w:val="22"/>
          <w:szCs w:val="22"/>
        </w:rPr>
        <w:t>düğü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Kozyatağı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>; metrekare fiyatı 28 $ ile en yüksek kira talep edilen b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  <w:lang w:val="de-DE"/>
        </w:rPr>
        <w:t>lge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oldu.</w:t>
      </w:r>
    </w:p>
    <w:p w:rsidR="00AB3B2A" w:rsidRPr="00D10676" w:rsidRDefault="000C499E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rPr>
          <w:rStyle w:val="None"/>
          <w:rFonts w:ascii="Arial" w:eastAsia="Arial" w:hAnsi="Arial" w:cs="Arial"/>
          <w:b/>
          <w:bCs/>
          <w:sz w:val="22"/>
          <w:szCs w:val="22"/>
        </w:rPr>
      </w:pPr>
      <w:r w:rsidRPr="00D10676">
        <w:rPr>
          <w:rStyle w:val="None"/>
          <w:rFonts w:ascii="Arial" w:hAnsi="Arial"/>
          <w:b/>
          <w:bCs/>
          <w:sz w:val="22"/>
          <w:szCs w:val="22"/>
        </w:rPr>
        <w:t>Ekonomik Gerek</w:t>
      </w:r>
      <w:r w:rsidRPr="00D10676">
        <w:rPr>
          <w:rStyle w:val="None"/>
          <w:rFonts w:ascii="Arial" w:hAnsi="Arial"/>
          <w:b/>
          <w:bCs/>
          <w:sz w:val="22"/>
          <w:szCs w:val="22"/>
          <w:lang w:val="pt-PT"/>
        </w:rPr>
        <w:t>ç</w:t>
      </w:r>
      <w:r w:rsidRPr="00D10676">
        <w:rPr>
          <w:rStyle w:val="None"/>
          <w:rFonts w:ascii="Arial" w:hAnsi="Arial"/>
          <w:b/>
          <w:bCs/>
          <w:sz w:val="22"/>
          <w:szCs w:val="22"/>
        </w:rPr>
        <w:t>eler Ofis Artış Hızını Yavaş</w:t>
      </w:r>
      <w:proofErr w:type="spellStart"/>
      <w:r w:rsidRPr="00D10676">
        <w:rPr>
          <w:rStyle w:val="None"/>
          <w:rFonts w:ascii="Arial" w:hAnsi="Arial"/>
          <w:b/>
          <w:bCs/>
          <w:sz w:val="22"/>
          <w:szCs w:val="22"/>
          <w:lang w:val="de-DE"/>
        </w:rPr>
        <w:t>latt</w:t>
      </w:r>
      <w:proofErr w:type="spellEnd"/>
      <w:r w:rsidRPr="00D10676">
        <w:rPr>
          <w:rStyle w:val="None"/>
          <w:rFonts w:ascii="Arial" w:hAnsi="Arial"/>
          <w:b/>
          <w:bCs/>
          <w:sz w:val="22"/>
          <w:szCs w:val="22"/>
        </w:rPr>
        <w:t>ı</w:t>
      </w:r>
    </w:p>
    <w:p w:rsidR="00AB3B2A" w:rsidRPr="00D10676" w:rsidRDefault="000C499E" w:rsidP="00F07FBA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uppressAutoHyphens/>
        <w:spacing w:after="200" w:line="276" w:lineRule="auto"/>
        <w:jc w:val="both"/>
        <w:rPr>
          <w:rStyle w:val="None"/>
          <w:rFonts w:ascii="Arial" w:eastAsia="Arial" w:hAnsi="Arial" w:cs="Arial"/>
          <w:sz w:val="22"/>
          <w:szCs w:val="22"/>
        </w:rPr>
      </w:pPr>
      <w:r w:rsidRPr="00D10676">
        <w:rPr>
          <w:rStyle w:val="None"/>
          <w:rFonts w:ascii="Arial" w:hAnsi="Arial"/>
          <w:sz w:val="22"/>
          <w:szCs w:val="22"/>
        </w:rPr>
        <w:t xml:space="preserve">2018 ikinci 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ç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eyrek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sonunda erişilen toplam stok büyüklüğü</w:t>
      </w:r>
      <w:r w:rsidRPr="00D10676">
        <w:rPr>
          <w:rStyle w:val="None"/>
          <w:rFonts w:ascii="Arial" w:hAnsi="Arial"/>
          <w:sz w:val="22"/>
          <w:szCs w:val="22"/>
          <w:lang w:val="de-DE"/>
        </w:rPr>
        <w:t>ne g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r w:rsidRPr="00D10676">
        <w:rPr>
          <w:rStyle w:val="None"/>
          <w:rFonts w:ascii="Arial" w:hAnsi="Arial"/>
          <w:sz w:val="22"/>
          <w:szCs w:val="22"/>
        </w:rPr>
        <w:t>re; Merkezi İş Alanı’nın (MİA)%34, Mİ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A D</w:t>
      </w:r>
      <w:r w:rsidRPr="00D10676">
        <w:rPr>
          <w:rStyle w:val="None"/>
          <w:rFonts w:ascii="Arial" w:hAnsi="Arial"/>
          <w:sz w:val="22"/>
          <w:szCs w:val="22"/>
        </w:rPr>
        <w:t>ışı-Avrupa’nın %19, Mİ</w:t>
      </w:r>
      <w:r w:rsidRPr="00D10676">
        <w:rPr>
          <w:rStyle w:val="None"/>
          <w:rFonts w:ascii="Arial" w:hAnsi="Arial"/>
          <w:sz w:val="22"/>
          <w:szCs w:val="22"/>
          <w:lang w:val="pt-PT"/>
        </w:rPr>
        <w:t>A D</w:t>
      </w:r>
      <w:r w:rsidRPr="00D10676">
        <w:rPr>
          <w:rStyle w:val="None"/>
          <w:rFonts w:ascii="Arial" w:hAnsi="Arial"/>
          <w:sz w:val="22"/>
          <w:szCs w:val="22"/>
        </w:rPr>
        <w:t>ışı-Asya’nın %25 ve Gelişmekte Olan Ofis B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lgeleri’nin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(</w:t>
      </w:r>
      <w:proofErr w:type="gramStart"/>
      <w:r w:rsidRPr="00D10676">
        <w:rPr>
          <w:rStyle w:val="None"/>
          <w:rFonts w:ascii="Arial" w:hAnsi="Arial"/>
          <w:sz w:val="22"/>
          <w:szCs w:val="22"/>
        </w:rPr>
        <w:t>Kağıthane</w:t>
      </w:r>
      <w:proofErr w:type="gramEnd"/>
      <w:r w:rsidRPr="00D10676">
        <w:rPr>
          <w:rStyle w:val="None"/>
          <w:rFonts w:ascii="Arial" w:hAnsi="Arial"/>
          <w:sz w:val="22"/>
          <w:szCs w:val="22"/>
        </w:rPr>
        <w:t xml:space="preserve">,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Bomonti-Piyalepaşa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, Kartal-Maltepe, Batı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Ataşehir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) %22 stok payına sahip olduğu açıklandı.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Kozyatağı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ve </w:t>
      </w:r>
      <w:r w:rsidRPr="00D10676">
        <w:rPr>
          <w:rStyle w:val="None"/>
          <w:rFonts w:ascii="Arial" w:hAnsi="Arial"/>
          <w:sz w:val="22"/>
          <w:szCs w:val="22"/>
          <w:lang w:val="de-DE"/>
        </w:rPr>
        <w:t>Ü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mraniye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b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lgelerindeki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ofis sto</w:t>
      </w:r>
      <w:r w:rsidR="004C1934">
        <w:rPr>
          <w:rStyle w:val="None"/>
          <w:rFonts w:ascii="Arial" w:hAnsi="Arial"/>
          <w:sz w:val="22"/>
          <w:szCs w:val="22"/>
        </w:rPr>
        <w:t>k</w:t>
      </w:r>
      <w:r w:rsidRPr="00D10676">
        <w:rPr>
          <w:rStyle w:val="None"/>
          <w:rFonts w:ascii="Arial" w:hAnsi="Arial"/>
          <w:sz w:val="22"/>
          <w:szCs w:val="22"/>
        </w:rPr>
        <w:t>u kısmen artarken ilerleyen d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r w:rsidRPr="00D10676">
        <w:rPr>
          <w:rStyle w:val="None"/>
          <w:rFonts w:ascii="Arial" w:hAnsi="Arial"/>
          <w:sz w:val="22"/>
          <w:szCs w:val="22"/>
        </w:rPr>
        <w:t>nemde gelişmekte olan ofis b</w:t>
      </w:r>
      <w:r w:rsidRPr="00D10676">
        <w:rPr>
          <w:rStyle w:val="None"/>
          <w:rFonts w:ascii="Arial" w:hAnsi="Arial"/>
          <w:sz w:val="22"/>
          <w:szCs w:val="22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lgelerinde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devam eden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inşaatların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 xml:space="preserve"> tamamlanmasıyla stok payında </w:t>
      </w:r>
      <w:proofErr w:type="spellStart"/>
      <w:r w:rsidRPr="00D10676">
        <w:rPr>
          <w:rStyle w:val="None"/>
          <w:rFonts w:ascii="Arial" w:hAnsi="Arial"/>
          <w:sz w:val="22"/>
          <w:szCs w:val="22"/>
        </w:rPr>
        <w:t>artıs</w:t>
      </w:r>
      <w:proofErr w:type="spellEnd"/>
      <w:r w:rsidRPr="00D10676">
        <w:rPr>
          <w:rStyle w:val="None"/>
          <w:rFonts w:ascii="Arial" w:hAnsi="Arial"/>
          <w:sz w:val="22"/>
          <w:szCs w:val="22"/>
        </w:rPr>
        <w:t>̧ olacağı belirtildi.</w:t>
      </w:r>
    </w:p>
    <w:p w:rsidR="00AB3B2A" w:rsidRPr="00D10676" w:rsidRDefault="00AB3B2A">
      <w:pPr>
        <w:pStyle w:val="BodyA"/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</w:p>
    <w:p w:rsidR="00F07FBA" w:rsidRPr="00F07FBA" w:rsidRDefault="000C499E" w:rsidP="008110C8">
      <w:pPr>
        <w:pStyle w:val="BodyA"/>
        <w:spacing w:line="20" w:lineRule="atLeast"/>
        <w:rPr>
          <w:rStyle w:val="None"/>
        </w:rPr>
      </w:pPr>
      <w:r w:rsidRPr="00D10676">
        <w:rPr>
          <w:rStyle w:val="None"/>
          <w:rFonts w:ascii="Arial" w:hAnsi="Arial"/>
          <w:sz w:val="20"/>
          <w:szCs w:val="20"/>
        </w:rPr>
        <w:t>———————————————-</w:t>
      </w:r>
      <w:r w:rsidRPr="00D10676">
        <w:rPr>
          <w:rStyle w:val="None"/>
          <w:rFonts w:ascii="Arial Unicode MS" w:hAnsi="Arial Unicode MS"/>
          <w:sz w:val="20"/>
          <w:szCs w:val="20"/>
        </w:rPr>
        <w:br/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Propin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 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>Gayrimenkul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 xml:space="preserve"> 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>Yatırı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  <w:lang w:val="de-DE"/>
        </w:rPr>
        <w:t>m Dan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>ışmanlığı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 xml:space="preserve"> 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Hakkında</w:t>
      </w:r>
      <w:proofErr w:type="spellEnd"/>
    </w:p>
    <w:p w:rsidR="00AB3B2A" w:rsidRPr="00D10676" w:rsidRDefault="000C499E" w:rsidP="00F07FBA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uppressAutoHyphens/>
        <w:spacing w:after="200"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lang w:val="en-US"/>
        </w:rPr>
      </w:pPr>
      <w:r w:rsidRPr="00D10676">
        <w:rPr>
          <w:rStyle w:val="None"/>
          <w:rFonts w:ascii="Arial Unicode MS" w:hAnsi="Arial Unicode MS"/>
          <w:sz w:val="20"/>
          <w:szCs w:val="20"/>
        </w:rPr>
        <w:br/>
      </w:r>
      <w:r w:rsidRPr="00D10676">
        <w:rPr>
          <w:rStyle w:val="None"/>
          <w:rFonts w:ascii="Arial" w:hAnsi="Arial"/>
          <w:i/>
          <w:iCs/>
          <w:sz w:val="20"/>
          <w:szCs w:val="20"/>
        </w:rPr>
        <w:t>T</w:t>
      </w:r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 xml:space="preserve">icari gayrimenkul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>sekt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>ründe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 xml:space="preserve"> “</w:t>
      </w:r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pt-PT"/>
        </w:rPr>
        <w:t>ofis</w:t>
      </w:r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 xml:space="preserve">” alanında uzmanlaşan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>Propin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 xml:space="preserve"> Gayrimenkul Yatırı</w:t>
      </w:r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de-DE"/>
        </w:rPr>
        <w:t>m Dan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>ışmanlığı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>,  2005 yılından bu güne mal sahiplerine, yatırımcılara ve geliştiricilere aracılık ve danışmanlık hizmetleri veriyor. İstanbul başta olmak üzere ofis pazarının gelişmekte olduğu büyük şehirlerde faaliyet g</w:t>
      </w:r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de-DE"/>
        </w:rPr>
        <w:t>steren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de-DE"/>
        </w:rPr>
        <w:t xml:space="preserve">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de-DE"/>
        </w:rPr>
        <w:t>Propin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de-DE"/>
        </w:rPr>
        <w:t xml:space="preserve">,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de-DE"/>
        </w:rPr>
        <w:t>sekt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>rün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 xml:space="preserve"> </w:t>
      </w:r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>ncü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 xml:space="preserve"> şirketi olarak 2008 yılından bu yana “İstanbul Ofis Pazarı Genel Bakış” raporunu her </w:t>
      </w:r>
      <w:r w:rsidRPr="00D10676">
        <w:rPr>
          <w:rStyle w:val="None"/>
          <w:rFonts w:ascii="Arial" w:hAnsi="Arial"/>
          <w:i/>
          <w:iCs/>
          <w:sz w:val="20"/>
          <w:szCs w:val="20"/>
          <w:u w:color="595959"/>
          <w:lang w:val="pt-PT"/>
        </w:rPr>
        <w:t>ç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>eyrekte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 xml:space="preserve"> yayınlıyor.</w:t>
      </w:r>
    </w:p>
    <w:p w:rsidR="00AB3B2A" w:rsidRPr="00D10676" w:rsidRDefault="000C499E">
      <w:pPr>
        <w:pStyle w:val="BodyA"/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r w:rsidRPr="00D10676">
        <w:rPr>
          <w:rStyle w:val="None"/>
          <w:rFonts w:ascii="Arial" w:hAnsi="Arial"/>
          <w:sz w:val="20"/>
          <w:szCs w:val="20"/>
        </w:rPr>
        <w:t>———————————————-</w:t>
      </w:r>
    </w:p>
    <w:p w:rsidR="00AB3B2A" w:rsidRPr="00D10676" w:rsidRDefault="00AB3B2A">
      <w:pPr>
        <w:pStyle w:val="BodyA"/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</w:p>
    <w:p w:rsidR="00AB3B2A" w:rsidRPr="00D10676" w:rsidRDefault="000C499E">
      <w:pPr>
        <w:pStyle w:val="BodyA"/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  <w:proofErr w:type="spellStart"/>
      <w:r w:rsidRPr="00D10676">
        <w:rPr>
          <w:rStyle w:val="None"/>
          <w:rFonts w:ascii="Arial" w:hAnsi="Arial"/>
          <w:b/>
          <w:bCs/>
          <w:sz w:val="20"/>
          <w:szCs w:val="20"/>
        </w:rPr>
        <w:t>Bilgi</w:t>
      </w:r>
      <w:proofErr w:type="spellEnd"/>
      <w:r w:rsidRPr="00D10676">
        <w:rPr>
          <w:rStyle w:val="None"/>
          <w:rFonts w:ascii="Arial" w:hAnsi="Arial"/>
          <w:b/>
          <w:bCs/>
          <w:sz w:val="20"/>
          <w:szCs w:val="20"/>
        </w:rPr>
        <w:t xml:space="preserve"> </w:t>
      </w:r>
      <w:proofErr w:type="spellStart"/>
      <w:r w:rsidRPr="00D10676">
        <w:rPr>
          <w:rStyle w:val="None"/>
          <w:rFonts w:ascii="Arial" w:hAnsi="Arial"/>
          <w:b/>
          <w:bCs/>
          <w:sz w:val="20"/>
          <w:szCs w:val="20"/>
        </w:rPr>
        <w:t>için</w:t>
      </w:r>
      <w:proofErr w:type="spellEnd"/>
      <w:r w:rsidRPr="00D10676">
        <w:rPr>
          <w:rStyle w:val="None"/>
          <w:rFonts w:ascii="Arial" w:hAnsi="Arial"/>
          <w:b/>
          <w:bCs/>
          <w:sz w:val="20"/>
          <w:szCs w:val="20"/>
        </w:rPr>
        <w:t xml:space="preserve">: </w:t>
      </w:r>
      <w:proofErr w:type="spellStart"/>
      <w:r w:rsidRPr="00D10676">
        <w:rPr>
          <w:rStyle w:val="None"/>
          <w:rFonts w:ascii="Arial" w:hAnsi="Arial"/>
          <w:sz w:val="20"/>
          <w:szCs w:val="20"/>
        </w:rPr>
        <w:t>Tülay</w:t>
      </w:r>
      <w:proofErr w:type="spellEnd"/>
      <w:r w:rsidRPr="00D10676">
        <w:rPr>
          <w:rStyle w:val="None"/>
          <w:rFonts w:ascii="Arial" w:hAnsi="Arial"/>
          <w:sz w:val="20"/>
          <w:szCs w:val="20"/>
        </w:rPr>
        <w:t xml:space="preserve"> </w:t>
      </w:r>
      <w:proofErr w:type="spellStart"/>
      <w:r w:rsidRPr="00D10676">
        <w:rPr>
          <w:rStyle w:val="None"/>
          <w:rFonts w:ascii="Arial" w:hAnsi="Arial"/>
          <w:sz w:val="20"/>
          <w:szCs w:val="20"/>
        </w:rPr>
        <w:t>Genç</w:t>
      </w:r>
      <w:proofErr w:type="spellEnd"/>
      <w:r w:rsidRPr="00D10676">
        <w:rPr>
          <w:rStyle w:val="None"/>
          <w:rFonts w:ascii="Arial" w:hAnsi="Arial"/>
          <w:sz w:val="20"/>
          <w:szCs w:val="20"/>
        </w:rPr>
        <w:t xml:space="preserve"> | </w:t>
      </w:r>
      <w:hyperlink r:id="rId9" w:history="1">
        <w:r w:rsidRPr="00D10676">
          <w:rPr>
            <w:rStyle w:val="Hyperlink1"/>
          </w:rPr>
          <w:t>bulten@bultengonder.in</w:t>
        </w:r>
      </w:hyperlink>
      <w:r w:rsidRPr="00D10676">
        <w:rPr>
          <w:rStyle w:val="None"/>
          <w:rFonts w:ascii="Arial" w:hAnsi="Arial"/>
          <w:sz w:val="20"/>
          <w:szCs w:val="20"/>
        </w:rPr>
        <w:t xml:space="preserve"> | 0212 635 70 60</w:t>
      </w:r>
    </w:p>
    <w:p w:rsidR="00AB3B2A" w:rsidRPr="00D10676" w:rsidRDefault="00AB3B2A">
      <w:pPr>
        <w:pStyle w:val="BodyA"/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</w:p>
    <w:p w:rsidR="00AB3B2A" w:rsidRPr="00D10676" w:rsidRDefault="00AB3B2A">
      <w:pPr>
        <w:pStyle w:val="BodyA"/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</w:p>
    <w:p w:rsidR="00AB3B2A" w:rsidRPr="00D10676" w:rsidRDefault="00AB3B2A">
      <w:pPr>
        <w:pStyle w:val="BodyA"/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</w:p>
    <w:p w:rsidR="00AB3B2A" w:rsidRPr="00D10676" w:rsidRDefault="00AB3B2A">
      <w:pPr>
        <w:pStyle w:val="BodyA"/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</w:p>
    <w:p w:rsidR="00AB3B2A" w:rsidRPr="00D10676" w:rsidRDefault="00AB3B2A">
      <w:pPr>
        <w:pStyle w:val="BodyA"/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</w:p>
    <w:p w:rsidR="00AB3B2A" w:rsidRPr="00D10676" w:rsidRDefault="00AB3B2A">
      <w:pPr>
        <w:pStyle w:val="BodyA"/>
        <w:spacing w:line="20" w:lineRule="atLeast"/>
        <w:rPr>
          <w:rStyle w:val="None"/>
          <w:rFonts w:ascii="Arial" w:eastAsia="Arial" w:hAnsi="Arial" w:cs="Arial"/>
          <w:sz w:val="20"/>
          <w:szCs w:val="20"/>
        </w:rPr>
      </w:pPr>
    </w:p>
    <w:p w:rsidR="00AB3B2A" w:rsidRPr="00D10676" w:rsidRDefault="00AB3B2A">
      <w:pPr>
        <w:pStyle w:val="BodyA"/>
        <w:spacing w:line="20" w:lineRule="atLeast"/>
        <w:rPr>
          <w:rStyle w:val="None"/>
          <w:u w:color="595959"/>
        </w:rPr>
      </w:pPr>
    </w:p>
    <w:p w:rsidR="00AB3B2A" w:rsidRPr="00D10676" w:rsidRDefault="000C499E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color="595959"/>
        </w:rPr>
      </w:pP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>Rapora Konu Olan B</w:t>
      </w: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>lgelerin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 xml:space="preserve"> 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>Sını</w:t>
      </w: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  <w:lang w:val="de-DE"/>
        </w:rPr>
        <w:t>fland</w:t>
      </w: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>ırılması</w:t>
      </w:r>
      <w:proofErr w:type="spellEnd"/>
    </w:p>
    <w:p w:rsidR="00AB3B2A" w:rsidRPr="00D10676" w:rsidRDefault="000C499E">
      <w:pPr>
        <w:pStyle w:val="BodyC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564"/>
        </w:tabs>
        <w:spacing w:after="200" w:line="276" w:lineRule="auto"/>
        <w:jc w:val="both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  <w:u w:color="595959"/>
        </w:rPr>
      </w:pP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u w:color="595959"/>
        </w:rPr>
        <w:t xml:space="preserve">MİA: </w:t>
      </w:r>
      <w:r w:rsidRPr="00D10676">
        <w:rPr>
          <w:rStyle w:val="None"/>
          <w:rFonts w:ascii="Arial" w:hAnsi="Arial"/>
          <w:i/>
          <w:iCs/>
          <w:sz w:val="20"/>
          <w:szCs w:val="20"/>
          <w:u w:color="595959"/>
        </w:rPr>
        <w:t>Merkezi İş Alanı</w:t>
      </w:r>
    </w:p>
    <w:p w:rsidR="00AB3B2A" w:rsidRPr="00D10676" w:rsidRDefault="000C499E">
      <w:pPr>
        <w:pStyle w:val="Default"/>
        <w:spacing w:after="240" w:line="260" w:lineRule="atLeast"/>
        <w:rPr>
          <w:rStyle w:val="None"/>
          <w:rFonts w:ascii="Arial" w:eastAsia="Arial" w:hAnsi="Arial" w:cs="Arial"/>
          <w:i/>
          <w:iCs/>
          <w:sz w:val="20"/>
          <w:szCs w:val="20"/>
        </w:rPr>
      </w:pP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Mİ</w:t>
      </w: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lang w:val="pt-PT"/>
        </w:rPr>
        <w:t xml:space="preserve">A </w:t>
      </w:r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(Levent, Etiler, Maslak, Zincirlikuyu-Esentepe-Gayrettepe,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Beşiktas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>̧- Balmumcu)</w:t>
      </w:r>
    </w:p>
    <w:p w:rsidR="00AB3B2A" w:rsidRPr="00D10676" w:rsidRDefault="000C499E">
      <w:pPr>
        <w:pStyle w:val="Default"/>
        <w:spacing w:after="240" w:line="260" w:lineRule="atLeast"/>
        <w:rPr>
          <w:rStyle w:val="None"/>
          <w:rFonts w:ascii="Arial" w:eastAsia="Arial" w:hAnsi="Arial" w:cs="Arial"/>
          <w:i/>
          <w:iCs/>
          <w:sz w:val="20"/>
          <w:szCs w:val="20"/>
        </w:rPr>
      </w:pP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Mİ</w:t>
      </w: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lang w:val="pt-PT"/>
        </w:rPr>
        <w:t>A D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ışı-Avrupa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D10676">
        <w:rPr>
          <w:rStyle w:val="None"/>
          <w:rFonts w:ascii="Arial" w:hAnsi="Arial"/>
          <w:i/>
          <w:iCs/>
          <w:sz w:val="20"/>
          <w:szCs w:val="20"/>
        </w:rPr>
        <w:t>(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Taksim-Nişantaşı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,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Şişli-Fulya-Otim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>, Havaalanı)</w:t>
      </w:r>
    </w:p>
    <w:p w:rsidR="00AB3B2A" w:rsidRPr="00D10676" w:rsidRDefault="000C499E">
      <w:pPr>
        <w:pStyle w:val="Default"/>
        <w:spacing w:after="240" w:line="260" w:lineRule="atLeast"/>
        <w:rPr>
          <w:rStyle w:val="None"/>
          <w:rFonts w:ascii="Arial" w:eastAsia="Arial" w:hAnsi="Arial" w:cs="Arial"/>
          <w:i/>
          <w:iCs/>
          <w:sz w:val="20"/>
          <w:szCs w:val="20"/>
        </w:rPr>
      </w:pP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Mİ</w:t>
      </w: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lang w:val="pt-PT"/>
        </w:rPr>
        <w:t>A D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ışı-Asya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D10676">
        <w:rPr>
          <w:rStyle w:val="None"/>
          <w:rFonts w:ascii="Arial" w:hAnsi="Arial"/>
          <w:i/>
          <w:iCs/>
          <w:sz w:val="20"/>
          <w:szCs w:val="20"/>
        </w:rPr>
        <w:t>(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Kozyatağı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lang w:val="pt-PT"/>
        </w:rPr>
        <w:t>, Altunizade, Kavac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ık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, </w:t>
      </w:r>
      <w:r w:rsidRPr="00D10676">
        <w:rPr>
          <w:rStyle w:val="None"/>
          <w:rFonts w:ascii="Arial" w:hAnsi="Arial"/>
          <w:i/>
          <w:iCs/>
          <w:sz w:val="20"/>
          <w:szCs w:val="20"/>
          <w:lang w:val="de-DE"/>
        </w:rPr>
        <w:t>Ü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mraniye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) </w:t>
      </w:r>
    </w:p>
    <w:p w:rsidR="00AB3B2A" w:rsidRPr="00D10676" w:rsidRDefault="000C499E">
      <w:pPr>
        <w:pStyle w:val="Default"/>
        <w:spacing w:after="240" w:line="260" w:lineRule="atLeast"/>
        <w:rPr>
          <w:rStyle w:val="None"/>
          <w:rFonts w:ascii="Arial" w:eastAsia="Arial" w:hAnsi="Arial" w:cs="Arial"/>
          <w:i/>
          <w:iCs/>
          <w:sz w:val="20"/>
          <w:szCs w:val="20"/>
        </w:rPr>
      </w:pP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Gelişmekte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 Olan Ofis B</w:t>
      </w: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lgeleri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 </w:t>
      </w:r>
      <w:r w:rsidRPr="00D10676">
        <w:rPr>
          <w:rStyle w:val="None"/>
          <w:rFonts w:ascii="Arial" w:hAnsi="Arial"/>
          <w:i/>
          <w:iCs/>
          <w:sz w:val="20"/>
          <w:szCs w:val="20"/>
        </w:rPr>
        <w:t>(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Kağıthane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,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Bomonti-Piyalepaşa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, Maltepe- Kartal, Batı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Ataşehir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) </w:t>
      </w:r>
    </w:p>
    <w:p w:rsidR="00AB3B2A" w:rsidRPr="00D10676" w:rsidRDefault="00AB3B2A">
      <w:pPr>
        <w:pStyle w:val="Default"/>
        <w:spacing w:after="240" w:line="260" w:lineRule="atLeast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</w:rPr>
      </w:pPr>
    </w:p>
    <w:p w:rsidR="00AB3B2A" w:rsidRPr="00D10676" w:rsidRDefault="000C499E">
      <w:pPr>
        <w:pStyle w:val="Default"/>
        <w:spacing w:after="240" w:line="260" w:lineRule="atLeast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</w:rPr>
      </w:pP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Ofis Bina Grupları</w:t>
      </w:r>
    </w:p>
    <w:p w:rsidR="00AB3B2A" w:rsidRPr="00D10676" w:rsidRDefault="000C499E" w:rsidP="00F07FBA">
      <w:pPr>
        <w:pStyle w:val="Default"/>
        <w:spacing w:after="240" w:line="260" w:lineRule="atLeast"/>
        <w:jc w:val="both"/>
        <w:rPr>
          <w:rStyle w:val="None"/>
          <w:rFonts w:ascii="Arial" w:eastAsia="Arial" w:hAnsi="Arial" w:cs="Arial"/>
          <w:b/>
          <w:bCs/>
          <w:i/>
          <w:iCs/>
          <w:sz w:val="20"/>
          <w:szCs w:val="20"/>
        </w:rPr>
      </w:pP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lang w:val="pt-PT"/>
        </w:rPr>
        <w:t>A S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ınıfı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 Ofis Binaları: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I</w:t>
      </w:r>
      <w:r w:rsidRPr="008110C8">
        <w:rPr>
          <w:rStyle w:val="None"/>
          <w:rFonts w:ascii="Arial" w:hAnsi="Arial"/>
          <w:i/>
          <w:iCs/>
          <w:sz w:val="20"/>
          <w:szCs w:val="20"/>
        </w:rPr>
        <w:t>̇ç</w:t>
      </w:r>
      <w:r w:rsidRPr="00D10676">
        <w:rPr>
          <w:rStyle w:val="None"/>
          <w:rFonts w:ascii="Arial" w:hAnsi="Arial"/>
          <w:i/>
          <w:iCs/>
          <w:sz w:val="20"/>
          <w:szCs w:val="20"/>
        </w:rPr>
        <w:t>inde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 bulundukları pazarda en iyi konuma, en yüksek kira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değerine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 sahip, yüksek kalitede kiracı altyapısı ve prestiji olan binalardır. Modern teknik ve mekanik altyapı, yangın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güvenliği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,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jenerat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  <w:lang w:val="sv-SE"/>
        </w:rPr>
        <w:t>ö</w:t>
      </w:r>
      <w:r w:rsidRPr="00D10676">
        <w:rPr>
          <w:rStyle w:val="None"/>
          <w:rFonts w:ascii="Arial" w:hAnsi="Arial"/>
          <w:i/>
          <w:iCs/>
          <w:sz w:val="20"/>
          <w:szCs w:val="20"/>
        </w:rPr>
        <w:t>r, otopark alanı, ortalamanın üstünde hizmet alanlarına ve profesyonel bina y</w:t>
      </w:r>
      <w:r w:rsidRPr="00D10676">
        <w:rPr>
          <w:rStyle w:val="None"/>
          <w:rFonts w:ascii="Arial" w:hAnsi="Arial"/>
          <w:i/>
          <w:iCs/>
          <w:sz w:val="20"/>
          <w:szCs w:val="20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netimine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 sahiptir.</w:t>
      </w:r>
    </w:p>
    <w:p w:rsidR="00A26CDD" w:rsidRPr="00D10676" w:rsidRDefault="000C499E" w:rsidP="00F07FBA">
      <w:pPr>
        <w:pStyle w:val="BodyA"/>
        <w:spacing w:line="20" w:lineRule="atLeast"/>
        <w:jc w:val="both"/>
      </w:pPr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  <w:lang w:val="de-DE"/>
        </w:rPr>
        <w:t>B S</w:t>
      </w:r>
      <w:proofErr w:type="spellStart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>ınıfı</w:t>
      </w:r>
      <w:proofErr w:type="spellEnd"/>
      <w:r w:rsidRPr="00D10676">
        <w:rPr>
          <w:rStyle w:val="None"/>
          <w:rFonts w:ascii="Arial" w:hAnsi="Arial"/>
          <w:b/>
          <w:bCs/>
          <w:i/>
          <w:iCs/>
          <w:sz w:val="20"/>
          <w:szCs w:val="20"/>
        </w:rPr>
        <w:t xml:space="preserve"> Ofis Binaları: </w:t>
      </w:r>
      <w:r w:rsidRPr="00D10676">
        <w:rPr>
          <w:rStyle w:val="None"/>
          <w:rFonts w:ascii="Arial" w:hAnsi="Arial"/>
          <w:i/>
          <w:iCs/>
          <w:sz w:val="20"/>
          <w:szCs w:val="20"/>
          <w:lang w:val="pt-PT"/>
        </w:rPr>
        <w:t>A s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ınıfı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 ofis binalarıyla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kıyaslandığında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 B sınıfı ofis binaları, aynı piyasanın i</w:t>
      </w:r>
      <w:r w:rsidRPr="00D10676">
        <w:rPr>
          <w:rStyle w:val="None"/>
          <w:rFonts w:ascii="Arial" w:hAnsi="Arial"/>
          <w:i/>
          <w:iCs/>
          <w:sz w:val="20"/>
          <w:szCs w:val="20"/>
          <w:lang w:val="pt-PT"/>
        </w:rPr>
        <w:t>ç</w:t>
      </w:r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inde, daha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düşük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 kira ve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satıs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̧ </w:t>
      </w:r>
      <w:r w:rsidRPr="00D10676">
        <w:rPr>
          <w:rStyle w:val="None"/>
          <w:rFonts w:ascii="Arial" w:hAnsi="Arial"/>
          <w:i/>
          <w:iCs/>
          <w:sz w:val="20"/>
          <w:szCs w:val="20"/>
          <w:lang w:val="it-IT"/>
        </w:rPr>
        <w:t>deg</w:t>
      </w:r>
      <w:r w:rsidRPr="00D10676">
        <w:rPr>
          <w:rStyle w:val="None"/>
          <w:rFonts w:ascii="Arial" w:hAnsi="Arial"/>
          <w:i/>
          <w:iCs/>
          <w:sz w:val="20"/>
          <w:szCs w:val="20"/>
        </w:rPr>
        <w:t>̆erine sahip; yeniyse sıradan tasarımlara sahip eski binaysa daha iyi g</w:t>
      </w:r>
      <w:r w:rsidRPr="00D10676">
        <w:rPr>
          <w:rStyle w:val="None"/>
          <w:rFonts w:ascii="Arial" w:hAnsi="Arial"/>
          <w:i/>
          <w:iCs/>
          <w:sz w:val="20"/>
          <w:szCs w:val="20"/>
          <w:lang w:val="sv-SE"/>
        </w:rPr>
        <w:t>ö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rünmesi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 i</w:t>
      </w:r>
      <w:r w:rsidRPr="00D10676">
        <w:rPr>
          <w:rStyle w:val="None"/>
          <w:rFonts w:ascii="Arial" w:hAnsi="Arial"/>
          <w:i/>
          <w:iCs/>
          <w:sz w:val="20"/>
          <w:szCs w:val="20"/>
          <w:lang w:val="pt-PT"/>
        </w:rPr>
        <w:t>ç</w:t>
      </w:r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in </w:t>
      </w:r>
      <w:proofErr w:type="spellStart"/>
      <w:r w:rsidRPr="00D10676">
        <w:rPr>
          <w:rStyle w:val="None"/>
          <w:rFonts w:ascii="Arial" w:hAnsi="Arial"/>
          <w:i/>
          <w:iCs/>
          <w:sz w:val="20"/>
          <w:szCs w:val="20"/>
        </w:rPr>
        <w:t>iyileştirilmis</w:t>
      </w:r>
      <w:proofErr w:type="spellEnd"/>
      <w:r w:rsidRPr="00D10676">
        <w:rPr>
          <w:rStyle w:val="None"/>
          <w:rFonts w:ascii="Arial" w:hAnsi="Arial"/>
          <w:i/>
          <w:iCs/>
          <w:sz w:val="20"/>
          <w:szCs w:val="20"/>
        </w:rPr>
        <w:t xml:space="preserve">̧ binalardır. </w:t>
      </w:r>
    </w:p>
    <w:sectPr w:rsidR="00A26CDD" w:rsidRPr="00D10676">
      <w:headerReference w:type="default" r:id="rId10"/>
      <w:footerReference w:type="default" r:id="rId11"/>
      <w:pgSz w:w="11900" w:h="16840"/>
      <w:pgMar w:top="568" w:right="843" w:bottom="1134" w:left="993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405D" w:rsidRDefault="0065405D">
      <w:r>
        <w:separator/>
      </w:r>
    </w:p>
  </w:endnote>
  <w:endnote w:type="continuationSeparator" w:id="0">
    <w:p w:rsidR="0065405D" w:rsidRDefault="00654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2A" w:rsidRDefault="000C499E">
    <w:pPr>
      <w:pStyle w:val="HeaderFooterA"/>
      <w:tabs>
        <w:tab w:val="clear" w:pos="9020"/>
        <w:tab w:val="center" w:pos="4819"/>
        <w:tab w:val="right" w:pos="9612"/>
      </w:tabs>
    </w:pPr>
    <w:r>
      <w:rPr>
        <w:color w:val="7F7F7F"/>
        <w:sz w:val="20"/>
        <w:szCs w:val="20"/>
        <w:u w:color="7F7F7F"/>
      </w:rPr>
      <w:tab/>
    </w:r>
    <w:hyperlink r:id="rId1" w:history="1">
      <w:r>
        <w:rPr>
          <w:rStyle w:val="Hyperlink0"/>
        </w:rPr>
        <w:t>http://bultengonder.in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405D" w:rsidRDefault="0065405D">
      <w:r>
        <w:separator/>
      </w:r>
    </w:p>
  </w:footnote>
  <w:footnote w:type="continuationSeparator" w:id="0">
    <w:p w:rsidR="0065405D" w:rsidRDefault="00654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B2A" w:rsidRDefault="00AB3B2A">
    <w:pPr>
      <w:pStyle w:val="HeaderFoo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yca.baskin">
    <w15:presenceInfo w15:providerId="None" w15:userId="ayca.bask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B2A"/>
    <w:rsid w:val="00040378"/>
    <w:rsid w:val="000C499E"/>
    <w:rsid w:val="004C1934"/>
    <w:rsid w:val="0065405D"/>
    <w:rsid w:val="006B4BD8"/>
    <w:rsid w:val="00752FC0"/>
    <w:rsid w:val="00795CF3"/>
    <w:rsid w:val="008110C8"/>
    <w:rsid w:val="009564E0"/>
    <w:rsid w:val="00A26CDD"/>
    <w:rsid w:val="00AB3B2A"/>
    <w:rsid w:val="00AD6C07"/>
    <w:rsid w:val="00C95608"/>
    <w:rsid w:val="00D10676"/>
    <w:rsid w:val="00F0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hAnsi="Arial"/>
      <w:color w:val="7F7F7F"/>
      <w:sz w:val="20"/>
      <w:szCs w:val="20"/>
      <w:u w:val="single" w:color="7F7F7F"/>
      <w:lang w:val="it-IT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C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CDD"/>
    <w:rPr>
      <w:rFonts w:ascii="Segoe UI" w:hAnsi="Segoe UI" w:cs="Segoe UI"/>
      <w:sz w:val="18"/>
      <w:szCs w:val="18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1067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067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067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067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0676"/>
    <w:rPr>
      <w:b/>
      <w:bCs/>
      <w:lang w:eastAsia="en-US"/>
    </w:rPr>
  </w:style>
  <w:style w:type="paragraph" w:styleId="Dzeltme">
    <w:name w:val="Revision"/>
    <w:hidden/>
    <w:uiPriority w:val="99"/>
    <w:semiHidden/>
    <w:rsid w:val="00D10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tr-TR" w:eastAsia="tr-T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HeaderFooterA">
    <w:name w:val="Header &amp; Footer A"/>
    <w:pPr>
      <w:tabs>
        <w:tab w:val="right" w:pos="9020"/>
      </w:tabs>
    </w:pPr>
    <w:rPr>
      <w:rFonts w:ascii="Arial" w:hAnsi="Arial" w:cs="Arial Unicode MS"/>
      <w:color w:val="000000"/>
      <w:sz w:val="24"/>
      <w:szCs w:val="24"/>
      <w:u w:color="000000"/>
      <w:lang w:val="en-US"/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hAnsi="Arial"/>
      <w:color w:val="7F7F7F"/>
      <w:sz w:val="20"/>
      <w:szCs w:val="20"/>
      <w:u w:val="single" w:color="7F7F7F"/>
      <w:lang w:val="it-IT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B">
    <w:name w:val="Body B"/>
    <w:rPr>
      <w:rFonts w:eastAsia="Times New Roman"/>
      <w:color w:val="000000"/>
      <w:sz w:val="24"/>
      <w:szCs w:val="24"/>
      <w:u w:color="000000"/>
      <w:lang w:val="en-US"/>
    </w:rPr>
  </w:style>
  <w:style w:type="paragraph" w:customStyle="1" w:styleId="BodyC">
    <w:name w:val="Body C"/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one"/>
    <w:rPr>
      <w:rFonts w:ascii="Arial" w:eastAsia="Arial" w:hAnsi="Arial" w:cs="Arial"/>
      <w:sz w:val="20"/>
      <w:szCs w:val="20"/>
      <w:u w:val="single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26CD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26CDD"/>
    <w:rPr>
      <w:rFonts w:ascii="Segoe UI" w:hAnsi="Segoe UI" w:cs="Segoe UI"/>
      <w:sz w:val="18"/>
      <w:szCs w:val="18"/>
      <w:lang w:val="en-US" w:eastAsia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D1067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10676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10676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1067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10676"/>
    <w:rPr>
      <w:b/>
      <w:bCs/>
      <w:lang w:eastAsia="en-US"/>
    </w:rPr>
  </w:style>
  <w:style w:type="paragraph" w:styleId="Dzeltme">
    <w:name w:val="Revision"/>
    <w:hidden/>
    <w:uiPriority w:val="99"/>
    <w:semiHidden/>
    <w:rsid w:val="00D106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ulten@bultengonder.in" TargetMode="External"/><Relationship Id="rId14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bultengonder.in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D655F-3BE4-43CA-96C6-40201865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esra.engin</cp:lastModifiedBy>
  <cp:revision>8</cp:revision>
  <cp:lastPrinted>2018-08-01T13:17:00Z</cp:lastPrinted>
  <dcterms:created xsi:type="dcterms:W3CDTF">2018-08-01T13:10:00Z</dcterms:created>
  <dcterms:modified xsi:type="dcterms:W3CDTF">2018-08-06T13:55:00Z</dcterms:modified>
</cp:coreProperties>
</file>